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1268">
      <w:pPr>
        <w:keepNext w:val="0"/>
        <w:keepLines w:val="0"/>
        <w:pageBreakBefore w:val="0"/>
        <w:widowControl w:val="0"/>
        <w:kinsoku/>
        <w:wordWrap/>
        <w:overflowPunct/>
        <w:topLinePunct w:val="0"/>
        <w:autoSpaceDE w:val="0"/>
        <w:autoSpaceDN w:val="0"/>
        <w:bidi w:val="0"/>
        <w:adjustRightInd/>
        <w:snapToGrid w:val="0"/>
        <w:spacing w:line="560" w:lineRule="exact"/>
        <w:ind w:firstLine="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2</w:t>
      </w:r>
    </w:p>
    <w:p w14:paraId="193F121D">
      <w:pPr>
        <w:keepNext w:val="0"/>
        <w:keepLines w:val="0"/>
        <w:pageBreakBefore w:val="0"/>
        <w:widowControl w:val="0"/>
        <w:kinsoku/>
        <w:wordWrap/>
        <w:overflowPunct/>
        <w:topLinePunct w:val="0"/>
        <w:autoSpaceDE w:val="0"/>
        <w:autoSpaceDN w:val="0"/>
        <w:bidi w:val="0"/>
        <w:adjustRightInd/>
        <w:snapToGrid w:val="0"/>
        <w:spacing w:line="560" w:lineRule="exact"/>
        <w:ind w:firstLine="0"/>
        <w:jc w:val="left"/>
        <w:textAlignment w:val="auto"/>
        <w:rPr>
          <w:rFonts w:hint="eastAsia" w:ascii="黑体" w:hAnsi="黑体" w:eastAsia="黑体" w:cs="黑体"/>
          <w:b w:val="0"/>
          <w:bCs w:val="0"/>
          <w:color w:val="000000"/>
          <w:sz w:val="32"/>
          <w:szCs w:val="32"/>
          <w:lang w:val="en-US" w:eastAsia="zh-CN"/>
        </w:rPr>
      </w:pPr>
    </w:p>
    <w:p w14:paraId="2AD4904E">
      <w:pPr>
        <w:keepNext w:val="0"/>
        <w:keepLines w:val="0"/>
        <w:pageBreakBefore w:val="0"/>
        <w:widowControl w:val="0"/>
        <w:kinsoku/>
        <w:wordWrap/>
        <w:overflowPunct/>
        <w:topLinePunct w:val="0"/>
        <w:autoSpaceDE w:val="0"/>
        <w:autoSpaceDN w:val="0"/>
        <w:bidi w:val="0"/>
        <w:adjustRightInd/>
        <w:snapToGrid w:val="0"/>
        <w:spacing w:line="560" w:lineRule="exact"/>
        <w:ind w:firstLine="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台州市知识产权保护中心专利预审服务</w:t>
      </w:r>
    </w:p>
    <w:p w14:paraId="5EB757C8">
      <w:pPr>
        <w:keepNext w:val="0"/>
        <w:keepLines w:val="0"/>
        <w:pageBreakBefore w:val="0"/>
        <w:widowControl w:val="0"/>
        <w:kinsoku/>
        <w:wordWrap/>
        <w:overflowPunct/>
        <w:topLinePunct w:val="0"/>
        <w:autoSpaceDE w:val="0"/>
        <w:autoSpaceDN w:val="0"/>
        <w:bidi w:val="0"/>
        <w:adjustRightInd/>
        <w:snapToGrid w:val="0"/>
        <w:spacing w:line="560" w:lineRule="exact"/>
        <w:ind w:firstLine="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承诺书</w:t>
      </w:r>
    </w:p>
    <w:p w14:paraId="5C98C15A">
      <w:pPr>
        <w:keepNext w:val="0"/>
        <w:keepLines w:val="0"/>
        <w:pageBreakBefore w:val="0"/>
        <w:widowControl w:val="0"/>
        <w:kinsoku/>
        <w:wordWrap/>
        <w:overflowPunct/>
        <w:topLinePunct w:val="0"/>
        <w:autoSpaceDE w:val="0"/>
        <w:autoSpaceDN w:val="0"/>
        <w:bidi w:val="0"/>
        <w:adjustRightInd/>
        <w:snapToGrid w:val="0"/>
        <w:spacing w:line="560" w:lineRule="exact"/>
        <w:ind w:firstLine="0"/>
        <w:jc w:val="left"/>
        <w:textAlignment w:val="auto"/>
        <w:rPr>
          <w:rFonts w:hint="eastAsia" w:ascii="方正小标宋简体" w:hAnsi="方正小标宋简体" w:eastAsia="方正小标宋简体" w:cs="方正小标宋简体"/>
          <w:b w:val="0"/>
          <w:bCs w:val="0"/>
          <w:color w:val="000000"/>
          <w:sz w:val="44"/>
          <w:szCs w:val="44"/>
        </w:rPr>
      </w:pPr>
    </w:p>
    <w:p w14:paraId="4FC2344E">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val="0"/>
          <w:bCs w:val="0"/>
          <w:color w:val="000000"/>
        </w:rPr>
        <w:t>我单位（机构）自愿申请获得浙江省内国家级知识产权保护中心（以下简称“保护中心”）的专利申请预审服务，知悉并愿意承担专利申请预审涉及的有关法律风险，承诺不提交虚假材料，自愿遵守如下事项，对于在专利申请时和审查过程中放弃的权益和机会，不在后续法律程序中主张享有。</w:t>
      </w:r>
    </w:p>
    <w:p w14:paraId="22A64F5F">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黑体" w:hAnsi="黑体" w:eastAsia="黑体" w:cs="黑体"/>
          <w:color w:val="000000"/>
        </w:rPr>
      </w:pPr>
      <w:r>
        <w:rPr>
          <w:rFonts w:hint="eastAsia" w:ascii="黑体" w:hAnsi="黑体" w:eastAsia="黑体" w:cs="黑体"/>
          <w:color w:val="000000"/>
        </w:rPr>
        <w:t>一、专利申请预审阶段</w:t>
      </w:r>
    </w:p>
    <w:p w14:paraId="1BB8A8DA">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（一）提交符合要求的XML格式申请文件</w:t>
      </w:r>
      <w:r>
        <w:rPr>
          <w:rFonts w:hint="eastAsia" w:ascii="仿宋_GB2312" w:hAnsi="仿宋_GB2312" w:eastAsia="仿宋_GB2312" w:cs="仿宋_GB2312"/>
          <w:b w:val="0"/>
          <w:bCs w:val="0"/>
          <w:color w:val="000000"/>
          <w:lang w:val="en-US" w:eastAsia="zh-CN"/>
        </w:rPr>
        <w:t>及其他规定的文件</w:t>
      </w:r>
      <w:r>
        <w:rPr>
          <w:rFonts w:hint="eastAsia" w:ascii="仿宋_GB2312" w:hAnsi="仿宋_GB2312" w:eastAsia="仿宋_GB2312" w:cs="仿宋_GB2312"/>
          <w:b w:val="0"/>
          <w:bCs w:val="0"/>
          <w:color w:val="000000"/>
        </w:rPr>
        <w:t>。</w:t>
      </w:r>
    </w:p>
    <w:p w14:paraId="1553EF7B">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（二）提交专利申请预审请求不涉及以下情形：按照专利合作条约（PCT）提出的专利国际申请、进入中国国家阶段的PCT 国际申请、根据《专利法》第九条第一款所规定的同一申请人同日对同样的发明创造所申请的实用新型专利和发明专利、分案申请和根据《专利法实施细则》第七条所规定的需要进行保密审查的申请。</w:t>
      </w:r>
    </w:p>
    <w:p w14:paraId="50E66952">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FF0000"/>
          <w:highlight w:val="none"/>
        </w:rPr>
      </w:pPr>
      <w:r>
        <w:rPr>
          <w:rFonts w:hint="eastAsia" w:ascii="仿宋_GB2312" w:hAnsi="仿宋_GB2312" w:eastAsia="仿宋_GB2312" w:cs="仿宋_GB2312"/>
          <w:b w:val="0"/>
          <w:bCs w:val="0"/>
          <w:color w:val="000000"/>
        </w:rPr>
        <w:t>（三）提交专利申请不涉及《规范申请专利行为的规定（2023）》（国家知识产权局77号令）所规定的非正常专利申请行为。必要时，配合保护中心补充提交能够体现本申请是基于真实发明创造活动并实现有益效果的证明材料。</w:t>
      </w:r>
    </w:p>
    <w:p w14:paraId="307D7BDB">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（四）不对同一专利申请重复多次提交预审。</w:t>
      </w:r>
    </w:p>
    <w:p w14:paraId="6677BFF0">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（五）在预审过程中仅针对预审审查意见通知书中指出的缺陷进行修改，需作出其他修改的，提前与保护中心沟通。</w:t>
      </w:r>
    </w:p>
    <w:p w14:paraId="10E046C3">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（六）积极配合保护中心提出的电话讨论或者当面讨论的约请，并及时提交相关材料。</w:t>
      </w:r>
    </w:p>
    <w:p w14:paraId="35745BA4">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黑体" w:hAnsi="黑体" w:eastAsia="黑体" w:cs="黑体"/>
          <w:color w:val="000000"/>
        </w:rPr>
      </w:pPr>
      <w:r>
        <w:rPr>
          <w:rFonts w:hint="eastAsia" w:ascii="黑体" w:hAnsi="黑体" w:eastAsia="黑体" w:cs="黑体"/>
          <w:color w:val="000000"/>
        </w:rPr>
        <w:t>二、在专利申请预审通过后正式向国家知识产权局提交阶段</w:t>
      </w:r>
    </w:p>
    <w:p w14:paraId="75EA89A3">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（一）在尚未收到保护中心的预审结论前，不向国家知识产权局提交专利申请。</w:t>
      </w:r>
    </w:p>
    <w:p w14:paraId="5F3AC03B">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（二）经预审通过的专利申请，在收到预审通过通知书之日起3个工作日内，通过国家知识产权局“专利业务办理系统”将预审通过的文件以XML格式向国家知识产权局提交电子申请。</w:t>
      </w:r>
    </w:p>
    <w:p w14:paraId="6FC6DAB9">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（三）向国家知识产权局提交的专利申请文本与经保护中心预审通过的专利申请文本一致。</w:t>
      </w:r>
    </w:p>
    <w:p w14:paraId="30E62EC6">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（四）对同一专利申请不向国家知识产权局进行重复提交。</w:t>
      </w:r>
    </w:p>
    <w:p w14:paraId="5F51438F">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（五）经预审通过的专利申请，在国家知识产权局发出专利申请受理通知书起1个工作日内，完成下列费用的网上足额缴费：申请费（含附加</w:t>
      </w:r>
      <w:bookmarkStart w:id="0" w:name="_GoBack"/>
      <w:bookmarkEnd w:id="0"/>
      <w:r>
        <w:rPr>
          <w:rFonts w:hint="eastAsia" w:ascii="仿宋_GB2312" w:hAnsi="仿宋_GB2312" w:eastAsia="仿宋_GB2312" w:cs="仿宋_GB2312"/>
          <w:b w:val="0"/>
          <w:bCs w:val="0"/>
          <w:color w:val="000000"/>
        </w:rPr>
        <w:t>费）、公布印刷费（仅限发明专利申请）、实质审查费（仅限发明专利申请），并</w:t>
      </w:r>
      <w:r>
        <w:rPr>
          <w:rFonts w:hint="eastAsia" w:ascii="仿宋_GB2312" w:hAnsi="仿宋_GB2312" w:eastAsia="仿宋_GB2312" w:cs="仿宋_GB2312"/>
          <w:b w:val="0"/>
          <w:bCs w:val="0"/>
          <w:color w:val="000000"/>
          <w:lang w:val="en-US" w:eastAsia="zh-CN"/>
        </w:rPr>
        <w:t>在1个工作日内</w:t>
      </w:r>
      <w:r>
        <w:rPr>
          <w:rFonts w:hint="eastAsia" w:ascii="仿宋_GB2312" w:hAnsi="仿宋_GB2312" w:eastAsia="仿宋_GB2312" w:cs="仿宋_GB2312"/>
          <w:b w:val="0"/>
          <w:bCs w:val="0"/>
          <w:color w:val="000000"/>
        </w:rPr>
        <w:t>向保护中心反馈申请号及缴费凭证。</w:t>
      </w:r>
    </w:p>
    <w:p w14:paraId="21BF8FD2">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黑体" w:hAnsi="黑体" w:eastAsia="黑体" w:cs="黑体"/>
          <w:color w:val="000000"/>
        </w:rPr>
      </w:pPr>
      <w:r>
        <w:rPr>
          <w:rFonts w:hint="eastAsia" w:ascii="黑体" w:hAnsi="黑体" w:eastAsia="黑体" w:cs="黑体"/>
          <w:color w:val="000000"/>
        </w:rPr>
        <w:t>三、在专利申请预审通过后进入国家知识产权局快速审查程序阶段</w:t>
      </w:r>
    </w:p>
    <w:p w14:paraId="49FB10B8">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一）专利申请文件符合《专利法实施细则》第四十四条规定的初步审查要求。申请人名称、统一社会信用代码、发明人姓名、发明人身份证号、专利代理总委托书编号、专利代理机构代码、专利代理师资格证号等信息均填写准确。</w:t>
      </w:r>
    </w:p>
    <w:p w14:paraId="49DAAC9D">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（二）对于根据《专利法》第二十四条和《专利法实施细则》第三十三条第三款的需要提交证明文件的情形，将相关证明文件将在申请日一并提交。</w:t>
      </w:r>
    </w:p>
    <w:p w14:paraId="06CD3457">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三）对于发明专利申请，针对国家知识产权局发出的第一、二次审查意见通知书，分别在10个、5个工作日内提交符合要求的XML格式答复意见。对于实用新型专利申请，针对国家知识产权局发出的审查意见通知书，在5个工作日内提交符合要求的XML 格式答复意见。</w:t>
      </w:r>
    </w:p>
    <w:p w14:paraId="6D4A937F">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（四）在审查过程中，自愿放弃《专利法实施细则》第五十七条第一款和第二款所规定的对专利申请进行主动修改的权利。</w:t>
      </w:r>
    </w:p>
    <w:p w14:paraId="70D823E0">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（五）在专利申请授权公告前，自愿放弃提出著录项目变更请求的权利。</w:t>
      </w:r>
    </w:p>
    <w:p w14:paraId="64703975">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（六）主动撤回专利申请前，及时向保护中心报备。</w:t>
      </w:r>
    </w:p>
    <w:p w14:paraId="783599B5">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（七）积极配合国家知识产权局提出的讨论约请。</w:t>
      </w:r>
    </w:p>
    <w:p w14:paraId="0A1CB5D0">
      <w:pPr>
        <w:keepNext w:val="0"/>
        <w:keepLines w:val="0"/>
        <w:pageBreakBefore w:val="0"/>
        <w:widowControl w:val="0"/>
        <w:kinsoku/>
        <w:wordWrap/>
        <w:overflowPunct/>
        <w:topLinePunct w:val="0"/>
        <w:autoSpaceDE w:val="0"/>
        <w:autoSpaceDN w:val="0"/>
        <w:bidi w:val="0"/>
        <w:adjustRightInd/>
        <w:snapToGrid w:val="0"/>
        <w:spacing w:line="560" w:lineRule="exact"/>
        <w:ind w:firstLine="634" w:firstLineChars="200"/>
        <w:jc w:val="left"/>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若违背上述承诺，我单位（机构）知悉相关专利预审案件会被终止预审服务，或者无法进入快速审查通道，或者转为普通申请程序，并愿意承担暂停预审服务、取消预审资格等相应当责任。</w:t>
      </w:r>
    </w:p>
    <w:p w14:paraId="68FB0F30">
      <w:pPr>
        <w:keepNext w:val="0"/>
        <w:keepLines w:val="0"/>
        <w:pageBreakBefore w:val="0"/>
        <w:widowControl w:val="0"/>
        <w:kinsoku/>
        <w:wordWrap/>
        <w:overflowPunct/>
        <w:topLinePunct w:val="0"/>
        <w:autoSpaceDE w:val="0"/>
        <w:autoSpaceDN w:val="0"/>
        <w:bidi w:val="0"/>
        <w:adjustRightInd/>
        <w:snapToGrid w:val="0"/>
        <w:spacing w:line="560" w:lineRule="exact"/>
        <w:ind w:firstLine="0" w:firstLineChars="0"/>
        <w:jc w:val="left"/>
        <w:textAlignment w:val="auto"/>
        <w:rPr>
          <w:rFonts w:hint="eastAsia" w:ascii="仿宋" w:hAnsi="仿宋" w:eastAsia="仿宋" w:cs="仿宋"/>
          <w:b w:val="0"/>
          <w:bCs w:val="0"/>
          <w:color w:val="000000"/>
        </w:rPr>
      </w:pPr>
    </w:p>
    <w:p w14:paraId="2F3F52D5">
      <w:pPr>
        <w:keepNext w:val="0"/>
        <w:keepLines w:val="0"/>
        <w:pageBreakBefore w:val="0"/>
        <w:widowControl w:val="0"/>
        <w:kinsoku/>
        <w:wordWrap/>
        <w:overflowPunct/>
        <w:topLinePunct w:val="0"/>
        <w:autoSpaceDE w:val="0"/>
        <w:autoSpaceDN w:val="0"/>
        <w:bidi w:val="0"/>
        <w:adjustRightInd/>
        <w:snapToGrid w:val="0"/>
        <w:spacing w:line="560" w:lineRule="exact"/>
        <w:ind w:firstLine="4438" w:firstLineChars="1400"/>
        <w:jc w:val="left"/>
        <w:textAlignment w:val="auto"/>
        <w:rPr>
          <w:rFonts w:hint="eastAsia" w:ascii="仿宋" w:hAnsi="仿宋" w:eastAsia="仿宋" w:cs="仿宋"/>
          <w:b w:val="0"/>
          <w:bCs w:val="0"/>
          <w:color w:val="000000"/>
        </w:rPr>
      </w:pPr>
    </w:p>
    <w:p w14:paraId="54DC82EE">
      <w:pPr>
        <w:keepNext w:val="0"/>
        <w:keepLines w:val="0"/>
        <w:pageBreakBefore w:val="0"/>
        <w:widowControl w:val="0"/>
        <w:kinsoku/>
        <w:wordWrap/>
        <w:overflowPunct/>
        <w:topLinePunct w:val="0"/>
        <w:autoSpaceDE w:val="0"/>
        <w:autoSpaceDN w:val="0"/>
        <w:bidi w:val="0"/>
        <w:adjustRightInd/>
        <w:snapToGrid w:val="0"/>
        <w:spacing w:line="560" w:lineRule="exact"/>
        <w:ind w:right="1268" w:rightChars="400"/>
        <w:jc w:val="right"/>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承诺人（盖章）</w:t>
      </w:r>
    </w:p>
    <w:p w14:paraId="07183CAE">
      <w:pPr>
        <w:keepNext w:val="0"/>
        <w:keepLines w:val="0"/>
        <w:pageBreakBefore w:val="0"/>
        <w:widowControl w:val="0"/>
        <w:kinsoku/>
        <w:wordWrap/>
        <w:overflowPunct/>
        <w:topLinePunct w:val="0"/>
        <w:autoSpaceDE w:val="0"/>
        <w:autoSpaceDN w:val="0"/>
        <w:bidi w:val="0"/>
        <w:adjustRightInd/>
        <w:snapToGrid w:val="0"/>
        <w:spacing w:line="560" w:lineRule="exact"/>
        <w:ind w:right="1268" w:rightChars="400" w:firstLine="4121" w:firstLineChars="1300"/>
        <w:jc w:val="right"/>
        <w:textAlignment w:val="auto"/>
        <w:rPr>
          <w:color w:val="000000"/>
        </w:rPr>
      </w:pPr>
      <w:r>
        <w:rPr>
          <w:rFonts w:hint="eastAsia" w:ascii="仿宋" w:hAnsi="仿宋" w:eastAsia="仿宋" w:cs="仿宋"/>
          <w:b w:val="0"/>
          <w:bCs w:val="0"/>
          <w:color w:val="000000"/>
          <w:szCs w:val="32"/>
        </w:rPr>
        <w:t xml:space="preserve">  年   月   日</w:t>
      </w:r>
    </w:p>
    <w:sectPr>
      <w:footerReference r:id="rId5" w:type="default"/>
      <w:footerReference r:id="rId6" w:type="even"/>
      <w:pgSz w:w="11906" w:h="16838"/>
      <w:pgMar w:top="1985" w:right="1474" w:bottom="2098" w:left="1588" w:header="720" w:footer="1474" w:gutter="0"/>
      <w:paperSrc w:first="15" w:other="15"/>
      <w:pgNumType w:start="1"/>
      <w:cols w:space="720" w:num="1"/>
      <w:docGrid w:type="linesAndChars" w:linePitch="59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F081">
    <w:pPr>
      <w:pStyle w:val="2"/>
      <w:wordWrap w:val="0"/>
      <w:jc w:val="right"/>
    </w:pPr>
    <w:r>
      <w:rPr>
        <w:rFonts w:hint="eastAsia"/>
      </w:rPr>
      <w:t xml:space="preserve">— </w:t>
    </w:r>
    <w:r>
      <w:rPr>
        <w:rStyle w:val="5"/>
        <w:rFonts w:ascii="宋体" w:hAnsi="宋体" w:eastAsia="宋体"/>
      </w:rPr>
      <w:fldChar w:fldCharType="begin"/>
    </w:r>
    <w:r>
      <w:rPr>
        <w:rStyle w:val="5"/>
        <w:rFonts w:ascii="宋体" w:hAnsi="宋体" w:eastAsia="宋体"/>
      </w:rPr>
      <w:instrText xml:space="preserve"> PAGE </w:instrText>
    </w:r>
    <w:r>
      <w:rPr>
        <w:rStyle w:val="5"/>
        <w:rFonts w:ascii="宋体" w:hAnsi="宋体" w:eastAsia="宋体"/>
      </w:rPr>
      <w:fldChar w:fldCharType="separate"/>
    </w:r>
    <w:r>
      <w:rPr>
        <w:rStyle w:val="5"/>
        <w:rFonts w:ascii="宋体" w:hAnsi="宋体" w:eastAsia="宋体"/>
      </w:rPr>
      <w:t>9</w:t>
    </w:r>
    <w:r>
      <w:rPr>
        <w:rStyle w:val="5"/>
        <w:rFonts w:ascii="宋体" w:hAnsi="宋体" w:eastAsia="宋体"/>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8BC3">
    <w:pPr>
      <w:pStyle w:val="2"/>
      <w:ind w:firstLine="280" w:firstLineChars="100"/>
      <w:jc w:val="left"/>
    </w:pPr>
    <w:r>
      <w:rPr>
        <w:rFonts w:hint="eastAsia"/>
      </w:rPr>
      <w:t xml:space="preserve">— </w:t>
    </w:r>
    <w:r>
      <w:rPr>
        <w:rStyle w:val="5"/>
        <w:rFonts w:ascii="宋体" w:hAnsi="宋体" w:eastAsia="宋体"/>
      </w:rPr>
      <w:fldChar w:fldCharType="begin"/>
    </w:r>
    <w:r>
      <w:rPr>
        <w:rStyle w:val="5"/>
        <w:rFonts w:ascii="宋体" w:hAnsi="宋体" w:eastAsia="宋体"/>
      </w:rPr>
      <w:instrText xml:space="preserve"> PAGE </w:instrText>
    </w:r>
    <w:r>
      <w:rPr>
        <w:rStyle w:val="5"/>
        <w:rFonts w:ascii="宋体" w:hAnsi="宋体" w:eastAsia="宋体"/>
      </w:rPr>
      <w:fldChar w:fldCharType="separate"/>
    </w:r>
    <w:r>
      <w:rPr>
        <w:rStyle w:val="5"/>
        <w:rFonts w:ascii="宋体" w:hAnsi="宋体" w:eastAsia="宋体"/>
      </w:rPr>
      <w:t>10</w:t>
    </w:r>
    <w:r>
      <w:rPr>
        <w:rStyle w:val="5"/>
        <w:rFonts w:ascii="宋体" w:hAnsi="宋体" w:eastAsia="宋体"/>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F77C1"/>
    <w:rsid w:val="1DEF1CC6"/>
    <w:rsid w:val="49251803"/>
    <w:rsid w:val="4C47051A"/>
    <w:rsid w:val="622B39D8"/>
    <w:rsid w:val="68D756E5"/>
    <w:rsid w:val="6F3EFC34"/>
    <w:rsid w:val="6FFDA4B2"/>
    <w:rsid w:val="716A24A9"/>
    <w:rsid w:val="73CF77C1"/>
    <w:rsid w:val="77F38276"/>
    <w:rsid w:val="79437892"/>
    <w:rsid w:val="7DDCF3FE"/>
    <w:rsid w:val="7E3D78F4"/>
    <w:rsid w:val="7FFF1695"/>
    <w:rsid w:val="BD9BF25B"/>
    <w:rsid w:val="C367F5C3"/>
    <w:rsid w:val="D5DF0545"/>
    <w:rsid w:val="DEDAD176"/>
    <w:rsid w:val="EEFF30E3"/>
    <w:rsid w:val="F7E9E283"/>
    <w:rsid w:val="FFAB92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400" w:lineRule="atLeast"/>
      <w:ind w:firstLine="0"/>
      <w:jc w:val="center"/>
    </w:pPr>
    <w:rPr>
      <w:sz w:val="2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1400</Words>
  <Characters>1417</Characters>
  <Lines>0</Lines>
  <Paragraphs>0</Paragraphs>
  <TotalTime>15</TotalTime>
  <ScaleCrop>false</ScaleCrop>
  <LinksUpToDate>false</LinksUpToDate>
  <CharactersWithSpaces>1427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2025-09-05T02:33:00Z</dcterms:created>
  <dc:creator>unis</dc:creator>
  <cp:lastModifiedBy>zzzz</cp:lastModifiedBy>
  <dcterms:modified xsi:type="dcterms:W3CDTF">2025-09-29T02:39:38Z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5BB12D7510BD408F97B5A8406712A78F_13</vt:lpwstr>
  </property>
  <property fmtid="{D5CDD505-2E9C-101B-9397-08002B2CF9AE}" pid="4" name="KSOTemplateDocerSaveRecord">
    <vt:lpwstr>eyJoZGlkIjoiNzBkY2UzYzY2OGRkZTE5ZWExYjVmNzFkY2M2MDI0MzMiLCJ1c2VySWQiOiIxNjE0OTQzNzI5In0=</vt:lpwstr>
  </property>
</Properties>
</file>