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DAC32">
      <w:pPr>
        <w:spacing w:line="590" w:lineRule="exact"/>
        <w:ind w:firstLine="0"/>
        <w:rPr>
          <w:rFonts w:ascii="宋体" w:hAnsi="宋体"/>
          <w:b/>
          <w:color w:val="000000"/>
        </w:rPr>
      </w:pPr>
    </w:p>
    <w:p w14:paraId="0993ED86">
      <w:pPr>
        <w:spacing w:line="590" w:lineRule="exact"/>
        <w:ind w:firstLine="0"/>
        <w:jc w:val="center"/>
        <w:rPr>
          <w:rFonts w:ascii="宋体" w:hAnsi="宋体" w:eastAsia="方正小标宋_GBK"/>
          <w:b w:val="0"/>
          <w:bCs w:val="0"/>
          <w:color w:val="000000"/>
          <w:sz w:val="44"/>
          <w:szCs w:val="44"/>
        </w:rPr>
      </w:pPr>
      <w:r>
        <w:rPr>
          <w:rFonts w:hint="eastAsia" w:ascii="宋体" w:hAnsi="宋体" w:eastAsia="方正小标宋_GBK"/>
          <w:b w:val="0"/>
          <w:bCs w:val="0"/>
          <w:color w:val="000000"/>
          <w:sz w:val="44"/>
          <w:szCs w:val="44"/>
        </w:rPr>
        <w:t>申请预审服务承诺书</w:t>
      </w:r>
    </w:p>
    <w:p w14:paraId="2857FD92">
      <w:pPr>
        <w:spacing w:line="590" w:lineRule="exact"/>
        <w:ind w:firstLine="0"/>
        <w:jc w:val="center"/>
        <w:rPr>
          <w:rFonts w:ascii="宋体" w:hAnsi="宋体" w:eastAsia="方正小标宋_GBK"/>
          <w:b/>
          <w:color w:val="000000"/>
          <w:sz w:val="44"/>
          <w:szCs w:val="44"/>
        </w:rPr>
      </w:pPr>
    </w:p>
    <w:p w14:paraId="6072D84C">
      <w:pPr>
        <w:spacing w:line="540" w:lineRule="exact"/>
        <w:ind w:firstLine="634" w:firstLineChars="200"/>
        <w:rPr>
          <w:rFonts w:hint="eastAsia" w:ascii="仿宋" w:hAnsi="仿宋" w:eastAsia="仿宋" w:cs="仿宋"/>
          <w:b/>
          <w:bCs/>
          <w:color w:val="000000"/>
        </w:rPr>
      </w:pPr>
      <w:r>
        <w:rPr>
          <w:rFonts w:hint="eastAsia" w:ascii="仿宋" w:hAnsi="仿宋" w:eastAsia="仿宋" w:cs="仿宋"/>
          <w:b w:val="0"/>
          <w:bCs w:val="0"/>
          <w:color w:val="000000"/>
        </w:rPr>
        <w:t>我单位（机构）自愿申请获得</w:t>
      </w:r>
      <w:r>
        <w:rPr>
          <w:rFonts w:hint="default" w:ascii="仿宋" w:hAnsi="仿宋" w:eastAsia="仿宋" w:cs="仿宋"/>
          <w:b w:val="0"/>
          <w:bCs w:val="0"/>
          <w:color w:val="000000"/>
          <w:woUserID w:val="1"/>
        </w:rPr>
        <w:t>浙江</w:t>
      </w:r>
      <w:r>
        <w:rPr>
          <w:rFonts w:hint="eastAsia" w:ascii="仿宋" w:hAnsi="仿宋" w:eastAsia="仿宋" w:cs="仿宋"/>
          <w:b w:val="0"/>
          <w:bCs w:val="0"/>
          <w:color w:val="000000"/>
        </w:rPr>
        <w:t>省内国家级知识产权保护中心（以下简称“保护中心”）的专利申请预审服务，知悉并愿意承担专利申请预审涉及的有关法律风险，承诺不提交虚假材料，自愿遵守如下事项，对于在专利申请时和审查过程中放弃的权益和机会，不在后续法律程序中主张享有。</w:t>
      </w:r>
    </w:p>
    <w:p w14:paraId="5E3BDF72">
      <w:pPr>
        <w:spacing w:line="540" w:lineRule="exact"/>
        <w:ind w:firstLine="634" w:firstLineChars="200"/>
        <w:rPr>
          <w:rFonts w:hint="eastAsia" w:ascii="黑体" w:hAnsi="黑体" w:eastAsia="黑体" w:cs="黑体"/>
          <w:color w:val="000000"/>
        </w:rPr>
      </w:pPr>
      <w:r>
        <w:rPr>
          <w:rFonts w:hint="eastAsia" w:ascii="黑体" w:hAnsi="黑体" w:eastAsia="黑体" w:cs="黑体"/>
          <w:color w:val="000000"/>
        </w:rPr>
        <w:t>一、专利申请预审阶段</w:t>
      </w:r>
    </w:p>
    <w:p w14:paraId="4F25A5AF">
      <w:pPr>
        <w:spacing w:line="540" w:lineRule="exact"/>
        <w:ind w:firstLine="634" w:firstLineChars="200"/>
        <w:rPr>
          <w:rFonts w:hint="eastAsia" w:ascii="仿宋" w:hAnsi="仿宋" w:eastAsia="仿宋" w:cs="仿宋"/>
          <w:b w:val="0"/>
          <w:bCs w:val="0"/>
          <w:color w:val="000000"/>
        </w:rPr>
      </w:pPr>
      <w:r>
        <w:rPr>
          <w:rFonts w:hint="eastAsia" w:ascii="仿宋" w:hAnsi="仿宋" w:eastAsia="仿宋" w:cs="仿宋"/>
          <w:b w:val="0"/>
          <w:bCs w:val="0"/>
          <w:color w:val="000000"/>
        </w:rPr>
        <w:t>（一）提交符合要求的XML格式申请文件。</w:t>
      </w:r>
    </w:p>
    <w:p w14:paraId="0E0D7761">
      <w:pPr>
        <w:spacing w:line="540" w:lineRule="exact"/>
        <w:ind w:firstLine="634" w:firstLineChars="200"/>
        <w:rPr>
          <w:rFonts w:hint="eastAsia" w:ascii="仿宋" w:hAnsi="仿宋" w:eastAsia="仿宋" w:cs="仿宋"/>
          <w:b w:val="0"/>
          <w:bCs w:val="0"/>
          <w:color w:val="000000"/>
        </w:rPr>
      </w:pPr>
      <w:r>
        <w:rPr>
          <w:rFonts w:hint="eastAsia" w:ascii="仿宋" w:hAnsi="仿宋" w:eastAsia="仿宋" w:cs="仿宋"/>
          <w:b w:val="0"/>
          <w:bCs w:val="0"/>
          <w:color w:val="000000"/>
        </w:rPr>
        <w:t>（二）提交专利申请预审请求不涉及以下情形：按照专利合作条约（PCT）提出的专利国际申请、进入中国国家阶段的PCT 国际申请、根据《专利法》第九条第一款所规定的同一申请人同日对同样的发明创造所申请的实用新型专利和发明专利、分案申请和根据《专利法实施细则》第七条所规定的需要进行保密审查的申请。</w:t>
      </w:r>
    </w:p>
    <w:p w14:paraId="41E5DB64">
      <w:pPr>
        <w:spacing w:line="540" w:lineRule="exact"/>
        <w:ind w:firstLine="634" w:firstLineChars="200"/>
        <w:rPr>
          <w:rFonts w:hint="default" w:ascii="仿宋" w:hAnsi="仿宋" w:eastAsia="仿宋" w:cs="仿宋"/>
          <w:b w:val="0"/>
          <w:bCs w:val="0"/>
          <w:color w:val="FF0000"/>
          <w:highlight w:val="none"/>
          <w:woUserID w:val="1"/>
        </w:rPr>
      </w:pPr>
      <w:r>
        <w:rPr>
          <w:rFonts w:hint="eastAsia" w:ascii="仿宋" w:hAnsi="仿宋" w:eastAsia="仿宋" w:cs="仿宋"/>
          <w:b w:val="0"/>
          <w:bCs w:val="0"/>
          <w:color w:val="000000"/>
        </w:rPr>
        <w:t>（三）提交专利申请不涉及《规范申请专利行为的规定（2023）》（国家知识产权局77号令）所规定的非正常专利申请行为。</w:t>
      </w:r>
      <w:r>
        <w:rPr>
          <w:rFonts w:hint="default" w:ascii="仿宋" w:hAnsi="仿宋" w:eastAsia="仿宋" w:cs="仿宋"/>
          <w:b w:val="0"/>
          <w:bCs w:val="0"/>
          <w:color w:val="000000"/>
        </w:rPr>
        <w:t>必要时，配合保护</w:t>
      </w:r>
      <w:r>
        <w:rPr>
          <w:rFonts w:hint="eastAsia" w:ascii="仿宋" w:hAnsi="仿宋" w:eastAsia="仿宋" w:cs="仿宋"/>
          <w:b w:val="0"/>
          <w:bCs w:val="0"/>
          <w:color w:val="000000"/>
        </w:rPr>
        <w:t>中心</w:t>
      </w:r>
      <w:r>
        <w:rPr>
          <w:rFonts w:hint="default" w:ascii="仿宋" w:hAnsi="仿宋" w:eastAsia="仿宋" w:cs="仿宋"/>
          <w:b w:val="0"/>
          <w:bCs w:val="0"/>
          <w:color w:val="000000"/>
        </w:rPr>
        <w:t>补充提交能够体现本申请是基于真实发明创造活动并实现有益效果的证明材料。</w:t>
      </w:r>
    </w:p>
    <w:p w14:paraId="458A7576">
      <w:pPr>
        <w:spacing w:line="540" w:lineRule="exact"/>
        <w:ind w:firstLine="634" w:firstLineChars="200"/>
        <w:rPr>
          <w:rFonts w:hint="eastAsia" w:ascii="仿宋" w:hAnsi="仿宋" w:eastAsia="仿宋" w:cs="仿宋"/>
          <w:b w:val="0"/>
          <w:bCs w:val="0"/>
          <w:color w:val="000000"/>
        </w:rPr>
      </w:pPr>
      <w:r>
        <w:rPr>
          <w:rFonts w:hint="eastAsia" w:ascii="仿宋" w:hAnsi="仿宋" w:eastAsia="仿宋" w:cs="仿宋"/>
          <w:b w:val="0"/>
          <w:bCs w:val="0"/>
          <w:color w:val="000000"/>
        </w:rPr>
        <w:t>（四）不对同一专利申请重复多次提交预审。</w:t>
      </w:r>
    </w:p>
    <w:p w14:paraId="6A9A14A7">
      <w:pPr>
        <w:spacing w:line="540" w:lineRule="exact"/>
        <w:ind w:firstLine="634" w:firstLineChars="200"/>
        <w:rPr>
          <w:rFonts w:hint="eastAsia" w:ascii="仿宋" w:hAnsi="仿宋" w:eastAsia="仿宋" w:cs="仿宋"/>
          <w:b w:val="0"/>
          <w:bCs w:val="0"/>
          <w:color w:val="000000"/>
        </w:rPr>
      </w:pPr>
      <w:r>
        <w:rPr>
          <w:rFonts w:hint="eastAsia" w:ascii="仿宋" w:hAnsi="仿宋" w:eastAsia="仿宋" w:cs="仿宋"/>
          <w:b w:val="0"/>
          <w:bCs w:val="0"/>
          <w:color w:val="000000"/>
        </w:rPr>
        <w:t>（五）在预审过程中仅针对预审审查意见通知书中指出的缺陷进行修改，需作出其他修改的，提前与保护中心沟</w:t>
      </w:r>
      <w:bookmarkStart w:id="0" w:name="_GoBack"/>
      <w:bookmarkEnd w:id="0"/>
      <w:r>
        <w:rPr>
          <w:rFonts w:hint="eastAsia" w:ascii="仿宋" w:hAnsi="仿宋" w:eastAsia="仿宋" w:cs="仿宋"/>
          <w:b w:val="0"/>
          <w:bCs w:val="0"/>
          <w:color w:val="000000"/>
        </w:rPr>
        <w:t>通。</w:t>
      </w:r>
    </w:p>
    <w:p w14:paraId="7EAED394">
      <w:pPr>
        <w:spacing w:line="540" w:lineRule="exact"/>
        <w:ind w:firstLine="634" w:firstLineChars="200"/>
        <w:rPr>
          <w:rFonts w:hint="eastAsia" w:ascii="仿宋" w:hAnsi="仿宋" w:eastAsia="仿宋" w:cs="仿宋"/>
          <w:b w:val="0"/>
          <w:bCs w:val="0"/>
          <w:color w:val="000000"/>
        </w:rPr>
      </w:pPr>
      <w:r>
        <w:rPr>
          <w:rFonts w:hint="eastAsia" w:ascii="仿宋" w:hAnsi="仿宋" w:eastAsia="仿宋" w:cs="仿宋"/>
          <w:b w:val="0"/>
          <w:bCs w:val="0"/>
          <w:color w:val="000000"/>
        </w:rPr>
        <w:t>（六）积极配合保护中心提出的电话讨论或者当面讨论的约请，并及时提交相关材料。</w:t>
      </w:r>
    </w:p>
    <w:p w14:paraId="43E91939">
      <w:pPr>
        <w:spacing w:line="540" w:lineRule="exact"/>
        <w:ind w:firstLine="634" w:firstLineChars="200"/>
        <w:rPr>
          <w:rFonts w:hint="eastAsia" w:ascii="黑体" w:hAnsi="黑体" w:eastAsia="黑体" w:cs="黑体"/>
          <w:color w:val="000000"/>
        </w:rPr>
      </w:pPr>
      <w:r>
        <w:rPr>
          <w:rFonts w:hint="eastAsia" w:ascii="黑体" w:hAnsi="黑体" w:eastAsia="黑体" w:cs="黑体"/>
          <w:color w:val="000000"/>
        </w:rPr>
        <w:t>二、在专利申请预审通过后正式向国家知识产权局提交阶段</w:t>
      </w:r>
    </w:p>
    <w:p w14:paraId="6231EFAC">
      <w:pPr>
        <w:spacing w:line="540" w:lineRule="exact"/>
        <w:ind w:firstLine="634" w:firstLineChars="200"/>
        <w:rPr>
          <w:rFonts w:hint="eastAsia" w:ascii="仿宋" w:hAnsi="仿宋" w:eastAsia="仿宋" w:cs="仿宋"/>
          <w:b w:val="0"/>
          <w:bCs w:val="0"/>
          <w:color w:val="000000"/>
        </w:rPr>
      </w:pPr>
      <w:r>
        <w:rPr>
          <w:rFonts w:hint="eastAsia" w:ascii="仿宋" w:hAnsi="仿宋" w:eastAsia="仿宋" w:cs="仿宋"/>
          <w:b w:val="0"/>
          <w:bCs w:val="0"/>
          <w:color w:val="000000"/>
        </w:rPr>
        <w:t>（一）在尚未收到保护中心的预审结论前，不向国家知识产权局提交专利申请。</w:t>
      </w:r>
    </w:p>
    <w:p w14:paraId="46CC189F">
      <w:pPr>
        <w:spacing w:line="540" w:lineRule="exact"/>
        <w:ind w:firstLine="634" w:firstLineChars="200"/>
        <w:rPr>
          <w:rFonts w:hint="eastAsia" w:ascii="仿宋" w:hAnsi="仿宋" w:eastAsia="仿宋" w:cs="仿宋"/>
          <w:b w:val="0"/>
          <w:bCs w:val="0"/>
          <w:color w:val="000000"/>
        </w:rPr>
      </w:pPr>
      <w:r>
        <w:rPr>
          <w:rFonts w:hint="eastAsia" w:ascii="仿宋" w:hAnsi="仿宋" w:eastAsia="仿宋" w:cs="仿宋"/>
          <w:b w:val="0"/>
          <w:bCs w:val="0"/>
          <w:color w:val="000000"/>
        </w:rPr>
        <w:t>（二）经预审通过的专利申请，在收到预审通过通知书之日起3个工作日内，通过国家知识产权局“专利业务办理系统”将预审通过的文件以XML格式向国家知识产权局提交电子申请。</w:t>
      </w:r>
    </w:p>
    <w:p w14:paraId="7F7B4196">
      <w:pPr>
        <w:spacing w:line="540" w:lineRule="exact"/>
        <w:ind w:firstLine="634" w:firstLineChars="200"/>
        <w:rPr>
          <w:rFonts w:hint="eastAsia" w:ascii="仿宋" w:hAnsi="仿宋" w:eastAsia="仿宋" w:cs="仿宋"/>
          <w:b w:val="0"/>
          <w:bCs w:val="0"/>
          <w:color w:val="000000"/>
        </w:rPr>
      </w:pPr>
      <w:r>
        <w:rPr>
          <w:rFonts w:hint="eastAsia" w:ascii="仿宋" w:hAnsi="仿宋" w:eastAsia="仿宋" w:cs="仿宋"/>
          <w:b w:val="0"/>
          <w:bCs w:val="0"/>
          <w:color w:val="000000"/>
        </w:rPr>
        <w:t>（三）向国家知识产权局提交的专利申请文本与经保护中心预审通过的专利申请文本一致。</w:t>
      </w:r>
    </w:p>
    <w:p w14:paraId="4FDE9FB0">
      <w:pPr>
        <w:spacing w:line="540" w:lineRule="exact"/>
        <w:ind w:firstLine="634" w:firstLineChars="200"/>
        <w:rPr>
          <w:rFonts w:hint="eastAsia" w:ascii="仿宋" w:hAnsi="仿宋" w:eastAsia="仿宋" w:cs="仿宋"/>
          <w:b w:val="0"/>
          <w:bCs w:val="0"/>
          <w:color w:val="000000"/>
        </w:rPr>
      </w:pPr>
      <w:r>
        <w:rPr>
          <w:rFonts w:hint="eastAsia" w:ascii="仿宋" w:hAnsi="仿宋" w:eastAsia="仿宋" w:cs="仿宋"/>
          <w:b w:val="0"/>
          <w:bCs w:val="0"/>
          <w:color w:val="000000"/>
        </w:rPr>
        <w:t>（四）对同一专利申请不向国家知识产权局进行重复提交。</w:t>
      </w:r>
    </w:p>
    <w:p w14:paraId="579739CE">
      <w:pPr>
        <w:spacing w:line="540" w:lineRule="exact"/>
        <w:ind w:firstLine="634" w:firstLineChars="200"/>
        <w:rPr>
          <w:rFonts w:hint="eastAsia" w:ascii="仿宋" w:hAnsi="仿宋" w:eastAsia="仿宋" w:cs="仿宋"/>
          <w:b w:val="0"/>
          <w:bCs w:val="0"/>
          <w:color w:val="000000"/>
        </w:rPr>
      </w:pPr>
      <w:r>
        <w:rPr>
          <w:rFonts w:hint="eastAsia" w:ascii="仿宋" w:hAnsi="仿宋" w:eastAsia="仿宋" w:cs="仿宋"/>
          <w:b w:val="0"/>
          <w:bCs w:val="0"/>
          <w:color w:val="000000"/>
        </w:rPr>
        <w:t>（五）经预审通过的专利申请，在国家知识产权局发出专利申请受理通知书起1个工作日内，完成下列费用的网上足额缴费：申请费（含附加费）、公布印刷费（仅限发明专利申请）、实质审查费（仅限发明专利申请），并向保护中心反馈申请号及缴费凭证。</w:t>
      </w:r>
    </w:p>
    <w:p w14:paraId="074B0456">
      <w:pPr>
        <w:spacing w:line="540" w:lineRule="exact"/>
        <w:ind w:firstLine="634" w:firstLineChars="200"/>
        <w:rPr>
          <w:rFonts w:hint="eastAsia" w:ascii="黑体" w:hAnsi="黑体" w:eastAsia="黑体" w:cs="黑体"/>
          <w:color w:val="000000"/>
        </w:rPr>
      </w:pPr>
      <w:r>
        <w:rPr>
          <w:rFonts w:hint="eastAsia" w:ascii="黑体" w:hAnsi="黑体" w:eastAsia="黑体" w:cs="黑体"/>
          <w:color w:val="000000"/>
        </w:rPr>
        <w:t>三、在专利申请预审通过后进入国家知识产权局快速审查程序阶段</w:t>
      </w:r>
    </w:p>
    <w:p w14:paraId="3720A9C3">
      <w:pPr>
        <w:spacing w:line="540" w:lineRule="exact"/>
        <w:ind w:firstLine="634" w:firstLineChars="200"/>
        <w:rPr>
          <w:rFonts w:hint="eastAsia" w:ascii="仿宋" w:hAnsi="仿宋" w:eastAsia="仿宋" w:cs="仿宋"/>
          <w:b w:val="0"/>
          <w:bCs w:val="0"/>
          <w:color w:val="000000"/>
        </w:rPr>
      </w:pPr>
      <w:r>
        <w:rPr>
          <w:rFonts w:hint="eastAsia" w:ascii="仿宋" w:hAnsi="仿宋" w:eastAsia="仿宋" w:cs="仿宋"/>
          <w:b w:val="0"/>
          <w:bCs w:val="0"/>
          <w:color w:val="000000"/>
        </w:rPr>
        <w:t>（一）专利申请文件符合《专利法实施细则》第四十四条规定的初步审查要求。申请人名称、统一社会信用代码、发明人姓名、发明人身份证号、专利代理总委托书编号、专利代理机构代码、专利代理师资格证号等信息均填写准确。</w:t>
      </w:r>
    </w:p>
    <w:p w14:paraId="1313D9C6">
      <w:pPr>
        <w:spacing w:line="540" w:lineRule="exact"/>
        <w:ind w:firstLine="634" w:firstLineChars="200"/>
        <w:rPr>
          <w:rFonts w:hint="eastAsia" w:ascii="仿宋" w:hAnsi="仿宋" w:eastAsia="仿宋" w:cs="仿宋"/>
          <w:b w:val="0"/>
          <w:bCs w:val="0"/>
          <w:color w:val="000000"/>
        </w:rPr>
      </w:pPr>
      <w:r>
        <w:rPr>
          <w:rFonts w:hint="eastAsia" w:ascii="仿宋" w:hAnsi="仿宋" w:eastAsia="仿宋" w:cs="仿宋"/>
          <w:b w:val="0"/>
          <w:bCs w:val="0"/>
          <w:color w:val="000000"/>
        </w:rPr>
        <w:t>（二）对于根据《专利法》第二十四条和《专利法实施细则》第三十三条第三款的需要提交证明文件的情形，将相关证明文件将在申请日一并提交。</w:t>
      </w:r>
    </w:p>
    <w:p w14:paraId="77573457">
      <w:pPr>
        <w:spacing w:line="540" w:lineRule="exact"/>
        <w:ind w:firstLine="634" w:firstLineChars="200"/>
        <w:rPr>
          <w:rFonts w:hint="eastAsia" w:ascii="仿宋" w:hAnsi="仿宋" w:eastAsia="仿宋" w:cs="仿宋"/>
          <w:b w:val="0"/>
          <w:bCs w:val="0"/>
          <w:color w:val="000000"/>
        </w:rPr>
      </w:pPr>
      <w:r>
        <w:rPr>
          <w:rFonts w:hint="eastAsia" w:ascii="仿宋" w:hAnsi="仿宋" w:eastAsia="仿宋" w:cs="仿宋"/>
          <w:b w:val="0"/>
          <w:bCs w:val="0"/>
          <w:color w:val="000000"/>
        </w:rPr>
        <w:t>（三）对于发明专利申请，针对国家知识产权局发出的第一、二次审查意见通知书，分别在10个、5个工作日内提交符合要求的XML格式答复意见。对于实用新型专利申请，针对国家知识产权局发出的审查意见通知书，在5个工作日内提交符合要求的XML 格式答复意见。</w:t>
      </w:r>
    </w:p>
    <w:p w14:paraId="255E7C73">
      <w:pPr>
        <w:spacing w:line="540" w:lineRule="exact"/>
        <w:ind w:firstLine="634" w:firstLineChars="200"/>
        <w:rPr>
          <w:rFonts w:hint="eastAsia" w:ascii="仿宋" w:hAnsi="仿宋" w:eastAsia="仿宋" w:cs="仿宋"/>
          <w:b w:val="0"/>
          <w:bCs w:val="0"/>
          <w:color w:val="000000"/>
        </w:rPr>
      </w:pPr>
      <w:r>
        <w:rPr>
          <w:rFonts w:hint="eastAsia" w:ascii="仿宋" w:hAnsi="仿宋" w:eastAsia="仿宋" w:cs="仿宋"/>
          <w:b w:val="0"/>
          <w:bCs w:val="0"/>
          <w:color w:val="000000"/>
        </w:rPr>
        <w:t>（四）在审查过程中，自愿放弃《专利法实施细则》第五十七条第一款和第二款所规定的对专利申请进行主动修改的权利。</w:t>
      </w:r>
    </w:p>
    <w:p w14:paraId="3EC2B665">
      <w:pPr>
        <w:spacing w:line="540" w:lineRule="exact"/>
        <w:ind w:firstLine="634" w:firstLineChars="200"/>
        <w:rPr>
          <w:rFonts w:hint="eastAsia" w:ascii="仿宋" w:hAnsi="仿宋" w:eastAsia="仿宋" w:cs="仿宋"/>
          <w:b w:val="0"/>
          <w:bCs w:val="0"/>
          <w:color w:val="000000"/>
        </w:rPr>
      </w:pPr>
      <w:r>
        <w:rPr>
          <w:rFonts w:hint="eastAsia" w:ascii="仿宋" w:hAnsi="仿宋" w:eastAsia="仿宋" w:cs="仿宋"/>
          <w:b w:val="0"/>
          <w:bCs w:val="0"/>
          <w:color w:val="000000"/>
        </w:rPr>
        <w:t>（五）在专利申请授权公告前，自愿放弃提出著录项目变更请求的权利。</w:t>
      </w:r>
    </w:p>
    <w:p w14:paraId="4FDA5593">
      <w:pPr>
        <w:spacing w:line="540" w:lineRule="exact"/>
        <w:ind w:firstLine="634" w:firstLineChars="200"/>
        <w:rPr>
          <w:rFonts w:hint="eastAsia" w:ascii="仿宋" w:hAnsi="仿宋" w:eastAsia="仿宋" w:cs="仿宋"/>
          <w:b w:val="0"/>
          <w:bCs w:val="0"/>
          <w:color w:val="000000"/>
        </w:rPr>
      </w:pPr>
      <w:r>
        <w:rPr>
          <w:rFonts w:hint="eastAsia" w:ascii="仿宋" w:hAnsi="仿宋" w:eastAsia="仿宋" w:cs="仿宋"/>
          <w:b w:val="0"/>
          <w:bCs w:val="0"/>
          <w:color w:val="000000"/>
        </w:rPr>
        <w:t>（六）主动撤回专利申请前，及时向保护中心报备。</w:t>
      </w:r>
    </w:p>
    <w:p w14:paraId="2C484111">
      <w:pPr>
        <w:spacing w:line="540" w:lineRule="exact"/>
        <w:ind w:firstLine="634" w:firstLineChars="200"/>
        <w:rPr>
          <w:rFonts w:hint="eastAsia" w:ascii="仿宋" w:hAnsi="仿宋" w:eastAsia="仿宋" w:cs="仿宋"/>
          <w:b w:val="0"/>
          <w:bCs w:val="0"/>
          <w:color w:val="000000"/>
        </w:rPr>
      </w:pPr>
      <w:r>
        <w:rPr>
          <w:rFonts w:hint="eastAsia" w:ascii="仿宋" w:hAnsi="仿宋" w:eastAsia="仿宋" w:cs="仿宋"/>
          <w:b w:val="0"/>
          <w:bCs w:val="0"/>
          <w:color w:val="000000"/>
        </w:rPr>
        <w:t>（七）积极配合国家知识产权局提出的讨论约请。</w:t>
      </w:r>
    </w:p>
    <w:p w14:paraId="61901BA7">
      <w:pPr>
        <w:spacing w:line="540" w:lineRule="exact"/>
        <w:ind w:firstLine="634" w:firstLineChars="200"/>
        <w:rPr>
          <w:rFonts w:hint="eastAsia" w:ascii="仿宋" w:hAnsi="仿宋" w:eastAsia="仿宋" w:cs="仿宋"/>
          <w:b w:val="0"/>
          <w:bCs w:val="0"/>
          <w:color w:val="000000"/>
        </w:rPr>
      </w:pPr>
      <w:r>
        <w:rPr>
          <w:rFonts w:hint="eastAsia" w:ascii="仿宋" w:hAnsi="仿宋" w:eastAsia="仿宋" w:cs="仿宋"/>
          <w:b w:val="0"/>
          <w:bCs w:val="0"/>
          <w:color w:val="000000"/>
        </w:rPr>
        <w:t>若违背上述承诺，我单位（机构）知悉相关专利预审案件会被终止预审服务，或者无法进入快速审查通道，或者转为普通申请程序，并愿意承担暂停预审服务、取消预审资格等相应当责任。</w:t>
      </w:r>
    </w:p>
    <w:p w14:paraId="29C6CA36">
      <w:pPr>
        <w:spacing w:line="540" w:lineRule="exact"/>
        <w:ind w:firstLine="4121" w:firstLineChars="1300"/>
        <w:rPr>
          <w:rFonts w:hint="eastAsia" w:ascii="仿宋" w:hAnsi="仿宋" w:eastAsia="仿宋" w:cs="仿宋"/>
          <w:b w:val="0"/>
          <w:bCs w:val="0"/>
          <w:color w:val="000000"/>
        </w:rPr>
      </w:pPr>
    </w:p>
    <w:p w14:paraId="45C60BAD">
      <w:pPr>
        <w:spacing w:line="540" w:lineRule="exact"/>
        <w:ind w:firstLine="4121" w:firstLineChars="1300"/>
        <w:rPr>
          <w:rFonts w:hint="eastAsia" w:ascii="仿宋" w:hAnsi="仿宋" w:eastAsia="仿宋" w:cs="仿宋"/>
          <w:b w:val="0"/>
          <w:bCs w:val="0"/>
          <w:color w:val="000000"/>
        </w:rPr>
      </w:pPr>
    </w:p>
    <w:p w14:paraId="4B6F5ED4">
      <w:pPr>
        <w:spacing w:line="540" w:lineRule="exact"/>
        <w:ind w:firstLine="4438" w:firstLineChars="1400"/>
        <w:rPr>
          <w:rFonts w:hint="eastAsia" w:ascii="仿宋" w:hAnsi="仿宋" w:eastAsia="仿宋" w:cs="仿宋"/>
          <w:b w:val="0"/>
          <w:bCs w:val="0"/>
          <w:color w:val="000000"/>
        </w:rPr>
      </w:pPr>
    </w:p>
    <w:p w14:paraId="5D6754A8">
      <w:pPr>
        <w:spacing w:line="540" w:lineRule="exact"/>
        <w:ind w:right="1268" w:rightChars="400"/>
        <w:jc w:val="right"/>
        <w:rPr>
          <w:rFonts w:hint="eastAsia" w:ascii="仿宋" w:hAnsi="仿宋" w:eastAsia="仿宋" w:cs="仿宋"/>
          <w:b w:val="0"/>
          <w:bCs w:val="0"/>
          <w:color w:val="000000"/>
        </w:rPr>
      </w:pPr>
      <w:r>
        <w:rPr>
          <w:rFonts w:hint="eastAsia" w:ascii="仿宋" w:hAnsi="仿宋" w:eastAsia="仿宋" w:cs="仿宋"/>
          <w:b w:val="0"/>
          <w:bCs w:val="0"/>
          <w:color w:val="000000"/>
        </w:rPr>
        <w:t>承诺人（盖章）</w:t>
      </w:r>
    </w:p>
    <w:p w14:paraId="1F18B745">
      <w:pPr>
        <w:spacing w:line="600" w:lineRule="exact"/>
        <w:ind w:right="1268" w:rightChars="400" w:firstLine="4121" w:firstLineChars="1300"/>
        <w:jc w:val="right"/>
        <w:rPr>
          <w:rFonts w:hint="eastAsia" w:ascii="仿宋" w:hAnsi="仿宋" w:eastAsia="仿宋" w:cs="仿宋"/>
          <w:b w:val="0"/>
          <w:bCs w:val="0"/>
          <w:color w:val="000000"/>
        </w:rPr>
      </w:pPr>
      <w:r>
        <w:rPr>
          <w:rFonts w:hint="eastAsia" w:ascii="仿宋" w:hAnsi="仿宋" w:eastAsia="仿宋" w:cs="仿宋"/>
          <w:b w:val="0"/>
          <w:bCs w:val="0"/>
          <w:color w:val="000000"/>
          <w:szCs w:val="32"/>
        </w:rPr>
        <w:t xml:space="preserve">  年   月   日</w:t>
      </w:r>
    </w:p>
    <w:p w14:paraId="09BDD581">
      <w:pPr>
        <w:rPr>
          <w:color w:val="000000"/>
        </w:rPr>
      </w:pPr>
    </w:p>
    <w:p w14:paraId="0F79BAF6">
      <w:pPr>
        <w:rPr>
          <w:color w:val="000000"/>
        </w:rPr>
      </w:pPr>
    </w:p>
    <w:sectPr>
      <w:footerReference r:id="rId5" w:type="default"/>
      <w:footerReference r:id="rId6" w:type="even"/>
      <w:pgSz w:w="11906" w:h="16838"/>
      <w:pgMar w:top="1985" w:right="1474" w:bottom="2098" w:left="1588" w:header="720" w:footer="1474" w:gutter="0"/>
      <w:paperSrc w:first="15" w:other="15"/>
      <w:pgNumType w:start="1"/>
      <w:cols w:space="720" w:num="1"/>
      <w:docGrid w:type="linesAndChars" w:linePitch="595"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F15D7">
    <w:pPr>
      <w:pStyle w:val="2"/>
      <w:wordWrap w:val="0"/>
      <w:jc w:val="right"/>
    </w:pPr>
    <w:r>
      <w:rPr>
        <w:rFonts w:hint="eastAsia"/>
      </w:rPr>
      <w:t xml:space="preserve">— </w:t>
    </w:r>
    <w:r>
      <w:rPr>
        <w:rStyle w:val="5"/>
        <w:rFonts w:ascii="宋体" w:hAnsi="宋体" w:eastAsia="宋体"/>
      </w:rPr>
      <w:fldChar w:fldCharType="begin"/>
    </w:r>
    <w:r>
      <w:rPr>
        <w:rStyle w:val="5"/>
        <w:rFonts w:ascii="宋体" w:hAnsi="宋体" w:eastAsia="宋体"/>
      </w:rPr>
      <w:instrText xml:space="preserve"> PAGE </w:instrText>
    </w:r>
    <w:r>
      <w:rPr>
        <w:rStyle w:val="5"/>
        <w:rFonts w:ascii="宋体" w:hAnsi="宋体" w:eastAsia="宋体"/>
      </w:rPr>
      <w:fldChar w:fldCharType="separate"/>
    </w:r>
    <w:r>
      <w:rPr>
        <w:rStyle w:val="5"/>
        <w:rFonts w:ascii="宋体" w:hAnsi="宋体" w:eastAsia="宋体"/>
      </w:rPr>
      <w:t>9</w:t>
    </w:r>
    <w:r>
      <w:rPr>
        <w:rStyle w:val="5"/>
        <w:rFonts w:ascii="宋体" w:hAnsi="宋体" w:eastAsia="宋体"/>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7862F">
    <w:pPr>
      <w:pStyle w:val="2"/>
      <w:ind w:firstLine="280" w:firstLineChars="100"/>
      <w:jc w:val="left"/>
    </w:pPr>
    <w:r>
      <w:rPr>
        <w:rFonts w:hint="eastAsia"/>
      </w:rPr>
      <w:t xml:space="preserve">— </w:t>
    </w:r>
    <w:r>
      <w:rPr>
        <w:rStyle w:val="5"/>
        <w:rFonts w:ascii="宋体" w:hAnsi="宋体" w:eastAsia="宋体"/>
      </w:rPr>
      <w:fldChar w:fldCharType="begin"/>
    </w:r>
    <w:r>
      <w:rPr>
        <w:rStyle w:val="5"/>
        <w:rFonts w:ascii="宋体" w:hAnsi="宋体" w:eastAsia="宋体"/>
      </w:rPr>
      <w:instrText xml:space="preserve"> PAGE </w:instrText>
    </w:r>
    <w:r>
      <w:rPr>
        <w:rStyle w:val="5"/>
        <w:rFonts w:ascii="宋体" w:hAnsi="宋体" w:eastAsia="宋体"/>
      </w:rPr>
      <w:fldChar w:fldCharType="separate"/>
    </w:r>
    <w:r>
      <w:rPr>
        <w:rStyle w:val="5"/>
        <w:rFonts w:ascii="宋体" w:hAnsi="宋体" w:eastAsia="宋体"/>
      </w:rPr>
      <w:t>10</w:t>
    </w:r>
    <w:r>
      <w:rPr>
        <w:rStyle w:val="5"/>
        <w:rFonts w:ascii="宋体" w:hAnsi="宋体" w:eastAsia="宋体"/>
      </w:rPr>
      <w:fldChar w:fldCharType="end"/>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F77C1"/>
    <w:rsid w:val="1DEF1CC6"/>
    <w:rsid w:val="622B39D8"/>
    <w:rsid w:val="6F3EFC34"/>
    <w:rsid w:val="73CF77C1"/>
    <w:rsid w:val="7DDCF3FE"/>
    <w:rsid w:val="7FFF1695"/>
    <w:rsid w:val="BD9BF25B"/>
    <w:rsid w:val="DEDAD1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kern w:val="0"/>
      <w:sz w:val="32"/>
      <w:szCs w:val="2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pacing w:line="400" w:lineRule="atLeast"/>
      <w:ind w:firstLine="0"/>
      <w:jc w:val="center"/>
    </w:pPr>
    <w:rPr>
      <w:sz w:val="2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1372</Words>
  <Characters>1389</Characters>
  <Lines>0</Lines>
  <Paragraphs>0</Paragraphs>
  <TotalTime>0</TotalTime>
  <ScaleCrop>false</ScaleCrop>
  <LinksUpToDate>false</LinksUpToDate>
  <CharactersWithSpaces>1399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2025-09-04T10:33:00Z</dcterms:created>
  <dc:creator>unis</dc:creator>
  <cp:lastModifiedBy>zzzz</cp:lastModifiedBy>
  <dcterms:modified xsi:type="dcterms:W3CDTF">2025-09-12T07:11:19Z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36FBBF3982CA79F4EDA8B76865207A32_41</vt:lpwstr>
  </property>
  <property fmtid="{D5CDD505-2E9C-101B-9397-08002B2CF9AE}" pid="4" name="KSOTemplateDocerSaveRecord">
    <vt:lpwstr>eyJoZGlkIjoiNzBkY2UzYzY2OGRkZTE5ZWExYjVmNzFkY2M2MDI0MzMiLCJ1c2VySWQiOiIxNjE0OTQzNzI5In0=</vt:lpwstr>
  </property>
</Properties>
</file>