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cs="黑体"/>
          <w:b/>
          <w:bCs/>
          <w:sz w:val="44"/>
          <w:szCs w:val="44"/>
          <w:lang w:eastAsia="zh-CN"/>
        </w:rPr>
      </w:pPr>
      <w:bookmarkStart w:id="0" w:name="_Toc508803920"/>
      <w:bookmarkStart w:id="1" w:name="_Toc508790200"/>
      <w:r>
        <w:rPr>
          <w:rFonts w:hint="eastAsia" w:ascii="黑体" w:eastAsia="黑体" w:cs="黑体"/>
          <w:b/>
          <w:bCs/>
          <w:sz w:val="44"/>
          <w:szCs w:val="44"/>
        </w:rPr>
        <w:t>承 诺 书</w:t>
      </w:r>
      <w:bookmarkEnd w:id="0"/>
      <w:bookmarkEnd w:id="1"/>
      <w:r>
        <w:rPr>
          <w:rFonts w:hint="eastAsia" w:ascii="黑体" w:eastAsia="黑体" w:cs="黑体"/>
          <w:b/>
          <w:bCs/>
          <w:sz w:val="44"/>
          <w:szCs w:val="44"/>
          <w:lang w:eastAsia="zh-CN"/>
        </w:rPr>
        <w:t>（试行）</w:t>
      </w:r>
    </w:p>
    <w:p>
      <w:pPr>
        <w:jc w:val="center"/>
        <w:rPr>
          <w:rFonts w:hint="eastAsia" w:ascii="黑体" w:eastAsia="黑体" w:cs="黑体"/>
          <w:b/>
          <w:bCs/>
          <w:sz w:val="32"/>
          <w:szCs w:val="32"/>
          <w:lang w:eastAsia="zh-CN"/>
        </w:rPr>
      </w:pPr>
    </w:p>
    <w:p>
      <w:pPr>
        <w:spacing w:line="360" w:lineRule="auto"/>
        <w:ind w:firstLine="643" w:firstLineChars="200"/>
        <w:rPr>
          <w:rFonts w:ascii="仿宋_GB2312" w:hAnsi="宋体" w:eastAsia="仿宋_GB2312" w:cs="Times New Roman"/>
          <w:b/>
          <w:bCs/>
          <w:color w:val="000000"/>
          <w:kern w:val="0"/>
          <w:sz w:val="32"/>
          <w:szCs w:val="32"/>
        </w:rPr>
      </w:pPr>
      <w:r>
        <w:rPr>
          <w:rFonts w:hint="eastAsia" w:ascii="仿宋_GB2312" w:hAnsi="宋体" w:eastAsia="仿宋_GB2312" w:cs="仿宋_GB2312"/>
          <w:b/>
          <w:bCs/>
          <w:color w:val="000000"/>
          <w:kern w:val="0"/>
          <w:sz w:val="32"/>
          <w:szCs w:val="32"/>
        </w:rPr>
        <w:t>申</w:t>
      </w:r>
      <w:r>
        <w:rPr>
          <w:rFonts w:hint="eastAsia" w:ascii="仿宋_GB2312" w:eastAsia="仿宋_GB2312" w:cs="仿宋_GB2312"/>
          <w:b/>
          <w:bCs/>
          <w:sz w:val="32"/>
          <w:szCs w:val="32"/>
        </w:rPr>
        <w:t>请人现将名称为</w:t>
      </w:r>
      <w:r>
        <w:rPr>
          <w:rFonts w:hint="eastAsia" w:ascii="仿宋_GB2312" w:eastAsia="仿宋_GB2312" w:cs="仿宋_GB2312"/>
          <w:b/>
          <w:bCs/>
          <w:sz w:val="32"/>
          <w:szCs w:val="32"/>
          <w:u w:val="single"/>
        </w:rPr>
        <w:t xml:space="preserve">                      </w:t>
      </w:r>
      <w:r>
        <w:rPr>
          <w:rFonts w:hint="eastAsia" w:ascii="仿宋_GB2312" w:eastAsia="仿宋_GB2312" w:cs="仿宋_GB2312"/>
          <w:b/>
          <w:bCs/>
          <w:sz w:val="32"/>
          <w:szCs w:val="32"/>
        </w:rPr>
        <w:t xml:space="preserve"> 的专利申请提交，请求获得</w:t>
      </w:r>
      <w:r>
        <w:rPr>
          <w:rFonts w:hint="eastAsia" w:ascii="仿宋_GB2312" w:eastAsia="仿宋_GB2312" w:cs="仿宋_GB2312"/>
          <w:b/>
          <w:bCs/>
          <w:sz w:val="32"/>
          <w:szCs w:val="32"/>
          <w:lang w:val="en-US" w:eastAsia="zh-CN"/>
        </w:rPr>
        <w:t>台州市</w:t>
      </w:r>
      <w:r>
        <w:rPr>
          <w:rFonts w:hint="eastAsia" w:ascii="仿宋_GB2312" w:eastAsia="仿宋_GB2312" w:cs="仿宋_GB2312"/>
          <w:b/>
          <w:bCs/>
          <w:sz w:val="32"/>
          <w:szCs w:val="32"/>
        </w:rPr>
        <w:t>知识产权保护中心的专利预审服务。申请人自愿遵守如下事项：</w:t>
      </w:r>
    </w:p>
    <w:p>
      <w:pPr>
        <w:spacing w:line="360" w:lineRule="auto"/>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一、申请人承诺将通过电子客户端或交互式平台提交符合格式要求</w:t>
      </w:r>
      <w:r>
        <w:rPr>
          <w:rFonts w:ascii="仿宋_GB2312" w:hAnsi="宋体" w:eastAsia="仿宋_GB2312" w:cs="仿宋_GB2312"/>
          <w:color w:val="000000"/>
          <w:kern w:val="0"/>
          <w:sz w:val="32"/>
          <w:szCs w:val="32"/>
        </w:rPr>
        <w:t>(XML</w:t>
      </w:r>
      <w:r>
        <w:rPr>
          <w:rFonts w:hint="eastAsia" w:ascii="仿宋_GB2312" w:hAnsi="宋体" w:eastAsia="仿宋_GB2312" w:cs="仿宋_GB2312"/>
          <w:color w:val="000000"/>
          <w:kern w:val="0"/>
          <w:sz w:val="32"/>
          <w:szCs w:val="32"/>
        </w:rPr>
        <w:t>格式</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的申请文件。</w:t>
      </w:r>
    </w:p>
    <w:p>
      <w:pPr>
        <w:spacing w:line="360" w:lineRule="auto"/>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二、申请人承诺在</w:t>
      </w:r>
      <w:r>
        <w:rPr>
          <w:rFonts w:hint="eastAsia" w:ascii="仿宋_GB2312" w:hAnsi="宋体" w:eastAsia="仿宋_GB2312" w:cs="仿宋_GB2312"/>
          <w:kern w:val="0"/>
          <w:sz w:val="32"/>
          <w:szCs w:val="32"/>
        </w:rPr>
        <w:t>申请日</w:t>
      </w:r>
      <w:r>
        <w:rPr>
          <w:rFonts w:hint="eastAsia" w:ascii="仿宋_GB2312" w:hAnsi="宋体" w:eastAsia="仿宋_GB2312" w:cs="仿宋_GB2312"/>
          <w:color w:val="000000"/>
          <w:kern w:val="0"/>
          <w:sz w:val="32"/>
          <w:szCs w:val="32"/>
        </w:rPr>
        <w:t>完成下列费用的网上足额缴费：申请费（含附加费）、公布印刷费（仅限发明专利申请）、优先权要求费（如实际发生）、实质审查费（仅限发明专利申请）。</w:t>
      </w:r>
    </w:p>
    <w:p>
      <w:pPr>
        <w:spacing w:line="360" w:lineRule="auto"/>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三、对于发明专利申请，申请人承诺在请求书中选择</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请求早日公布该专利申请</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，在提交专利申请的同时提交实质审查请求书，以及申请日前与发明有关的参考资料。</w:t>
      </w:r>
    </w:p>
    <w:p>
      <w:pPr>
        <w:spacing w:line="360" w:lineRule="auto"/>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四、申请人承诺将保证申请文件的质量，在提交申请时</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尽可能使申请文件符合《专利法实施细则》第</w:t>
      </w:r>
      <w:r>
        <w:rPr>
          <w:rFonts w:hint="eastAsia" w:ascii="仿宋_GB2312" w:hAnsi="宋体" w:eastAsia="仿宋_GB2312" w:cs="仿宋_GB2312"/>
          <w:color w:val="000000"/>
          <w:kern w:val="0"/>
          <w:sz w:val="32"/>
          <w:szCs w:val="32"/>
          <w:lang w:eastAsia="zh-CN"/>
        </w:rPr>
        <w:t>五十</w:t>
      </w:r>
      <w:r>
        <w:rPr>
          <w:rFonts w:hint="eastAsia" w:ascii="仿宋_GB2312" w:hAnsi="宋体" w:eastAsia="仿宋_GB2312" w:cs="仿宋_GB2312"/>
          <w:color w:val="000000"/>
          <w:kern w:val="0"/>
          <w:sz w:val="32"/>
          <w:szCs w:val="32"/>
        </w:rPr>
        <w:t>条规定的初步审查的要求。</w:t>
      </w:r>
    </w:p>
    <w:p>
      <w:pPr>
        <w:spacing w:line="360" w:lineRule="auto"/>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五、申请人承诺对于根据《专利法实施细则》第二十</w:t>
      </w:r>
      <w:r>
        <w:rPr>
          <w:rFonts w:hint="eastAsia" w:ascii="仿宋_GB2312" w:hAnsi="宋体" w:eastAsia="仿宋_GB2312" w:cs="仿宋_GB2312"/>
          <w:color w:val="000000"/>
          <w:kern w:val="0"/>
          <w:sz w:val="32"/>
          <w:szCs w:val="32"/>
          <w:lang w:eastAsia="zh-CN"/>
        </w:rPr>
        <w:t>七</w:t>
      </w:r>
      <w:r>
        <w:rPr>
          <w:rFonts w:hint="eastAsia" w:ascii="仿宋_GB2312" w:hAnsi="宋体" w:eastAsia="仿宋_GB2312" w:cs="仿宋_GB2312"/>
          <w:color w:val="000000"/>
          <w:kern w:val="0"/>
          <w:sz w:val="32"/>
          <w:szCs w:val="32"/>
        </w:rPr>
        <w:t>条的规定需要对生物材料提交保藏的专利申请，在申请时提交保藏单位出具的保藏证明和存活证明。对于根据《专利法》第二十四条和《专利法实施细则》第三十</w:t>
      </w:r>
      <w:r>
        <w:rPr>
          <w:rFonts w:hint="eastAsia" w:ascii="仿宋_GB2312" w:hAnsi="宋体" w:eastAsia="仿宋_GB2312" w:cs="仿宋_GB2312"/>
          <w:color w:val="000000"/>
          <w:kern w:val="0"/>
          <w:sz w:val="32"/>
          <w:szCs w:val="32"/>
          <w:lang w:eastAsia="zh-CN"/>
        </w:rPr>
        <w:t>三</w:t>
      </w:r>
      <w:r>
        <w:rPr>
          <w:rFonts w:hint="eastAsia" w:ascii="仿宋_GB2312" w:hAnsi="宋体" w:eastAsia="仿宋_GB2312" w:cs="仿宋_GB2312"/>
          <w:color w:val="000000"/>
          <w:kern w:val="0"/>
          <w:sz w:val="32"/>
          <w:szCs w:val="32"/>
        </w:rPr>
        <w:t>条第三款的需要提交证明文件的情形，相关证明文件将在申请日一并提交。根据《专利法》第二十九条的规定要求优先权，如果按照有关的规定必须提交在先申请文件副本，申请人将在提交申请时一并提交。</w:t>
      </w:r>
    </w:p>
    <w:p>
      <w:pPr>
        <w:spacing w:line="360" w:lineRule="auto"/>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六、申请人承诺不提交《专利法》第九条第一款所规定的同一申请人同日对同样的发明创造的另一实用新型专利或发明专利、分案申请和根据《专利法实施细则》第七条所规定的需要进行保密审查的申请。</w:t>
      </w:r>
    </w:p>
    <w:p>
      <w:pPr>
        <w:spacing w:line="360" w:lineRule="auto"/>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七、申请人承诺对同一专利申请不进行重复提交。</w:t>
      </w:r>
    </w:p>
    <w:p>
      <w:pPr>
        <w:spacing w:line="360" w:lineRule="auto"/>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八、申请人承诺提交的专利申请不涉及国家知识产权局</w:t>
      </w:r>
      <w:r>
        <w:rPr>
          <w:rFonts w:hint="eastAsia" w:ascii="仿宋_GB2312" w:hAnsi="宋体" w:eastAsia="仿宋_GB2312" w:cs="仿宋_GB2312"/>
          <w:i w:val="0"/>
          <w:iCs w:val="0"/>
          <w:caps w:val="0"/>
          <w:color w:val="000000"/>
          <w:spacing w:val="0"/>
          <w:kern w:val="0"/>
          <w:sz w:val="32"/>
          <w:szCs w:val="32"/>
          <w:u w:val="none"/>
          <w:shd w:val="clear"/>
        </w:rPr>
        <w:fldChar w:fldCharType="begin"/>
      </w:r>
      <w:r>
        <w:rPr>
          <w:rFonts w:hint="eastAsia" w:ascii="仿宋_GB2312" w:hAnsi="宋体" w:eastAsia="仿宋_GB2312" w:cs="仿宋_GB2312"/>
          <w:i w:val="0"/>
          <w:iCs w:val="0"/>
          <w:caps w:val="0"/>
          <w:color w:val="000000"/>
          <w:spacing w:val="0"/>
          <w:kern w:val="0"/>
          <w:sz w:val="32"/>
          <w:szCs w:val="32"/>
          <w:u w:val="none"/>
          <w:shd w:val="clear"/>
        </w:rPr>
        <w:instrText xml:space="preserve"> HYPERLINK "https://www.cnipa.gov.cn/jsearchfront/visit/link.do?url=https://www.cnipa.gov.cn/art/2023/12/21/art_99_189201.html&amp;q=%E5%9B%BD%E5%AE%B6%E7%9F%A5%E8%AF%86%E4%BA%A7%E6%9D%83%E5%B1%80%E4%BB%A4%E7%AC%AC77%E5%8F%B7&amp;websiteid=100000000000000&amp;title=%E3%80%8A%E8%A7%84%E8%8C%83%E7%94%B3%E8%AF%B7%E4%B8%93%E5%88%A9%E8%A1%8C%E4%B8%BA%E7%9A%84%E8%A7%84%E5%AE%9A%E3%80%8B(2023)(%E5%B1%80%E4%BB%A4%E7%AC%AC77%E5%8F%B7)" \t "https://www.cnipa.gov.cn/jsearchfront/_blank" </w:instrText>
      </w:r>
      <w:r>
        <w:rPr>
          <w:rFonts w:hint="eastAsia" w:ascii="仿宋_GB2312" w:hAnsi="宋体" w:eastAsia="仿宋_GB2312" w:cs="仿宋_GB2312"/>
          <w:i w:val="0"/>
          <w:iCs w:val="0"/>
          <w:caps w:val="0"/>
          <w:color w:val="000000"/>
          <w:spacing w:val="0"/>
          <w:kern w:val="0"/>
          <w:sz w:val="32"/>
          <w:szCs w:val="32"/>
          <w:u w:val="none"/>
          <w:shd w:val="clear"/>
        </w:rPr>
        <w:fldChar w:fldCharType="separate"/>
      </w:r>
      <w:r>
        <w:rPr>
          <w:rFonts w:hint="eastAsia" w:ascii="仿宋_GB2312" w:hAnsi="宋体" w:eastAsia="仿宋_GB2312" w:cs="仿宋_GB2312"/>
          <w:i w:val="0"/>
          <w:iCs w:val="0"/>
          <w:caps w:val="0"/>
          <w:color w:val="000000"/>
          <w:spacing w:val="0"/>
          <w:kern w:val="0"/>
          <w:sz w:val="32"/>
          <w:szCs w:val="32"/>
          <w:u w:val="none"/>
          <w:shd w:val="clear"/>
        </w:rPr>
        <w:t>《规范申请专利行为的规定》(2023)(局令第77号)</w:t>
      </w:r>
      <w:r>
        <w:rPr>
          <w:rFonts w:hint="eastAsia" w:ascii="仿宋_GB2312" w:hAnsi="宋体" w:eastAsia="仿宋_GB2312" w:cs="仿宋_GB2312"/>
          <w:i w:val="0"/>
          <w:iCs w:val="0"/>
          <w:caps w:val="0"/>
          <w:color w:val="000000"/>
          <w:spacing w:val="0"/>
          <w:kern w:val="0"/>
          <w:sz w:val="32"/>
          <w:szCs w:val="32"/>
          <w:u w:val="none"/>
          <w:shd w:val="clear"/>
        </w:rPr>
        <w:fldChar w:fldCharType="end"/>
      </w:r>
      <w:r>
        <w:rPr>
          <w:rFonts w:hint="eastAsia" w:ascii="仿宋_GB2312" w:hAnsi="宋体" w:eastAsia="仿宋_GB2312" w:cs="仿宋_GB2312"/>
          <w:color w:val="000000"/>
          <w:kern w:val="0"/>
          <w:sz w:val="32"/>
          <w:szCs w:val="32"/>
        </w:rPr>
        <w:t>所规定的非正常申请专利的行为。</w:t>
      </w:r>
    </w:p>
    <w:p>
      <w:pPr>
        <w:spacing w:line="360" w:lineRule="auto"/>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九、对于发明专利申请，针对专利局发出第一、二次审查意见通知书，申请人承诺分别在</w:t>
      </w:r>
      <w:r>
        <w:rPr>
          <w:rFonts w:ascii="仿宋_GB2312" w:hAnsi="宋体" w:eastAsia="仿宋_GB2312" w:cs="仿宋_GB2312"/>
          <w:color w:val="000000"/>
          <w:kern w:val="0"/>
          <w:sz w:val="32"/>
          <w:szCs w:val="32"/>
        </w:rPr>
        <w:t>10</w:t>
      </w:r>
      <w:r>
        <w:rPr>
          <w:rFonts w:hint="eastAsia" w:ascii="仿宋_GB2312" w:hAnsi="宋体" w:eastAsia="仿宋_GB2312" w:cs="仿宋_GB2312"/>
          <w:color w:val="000000"/>
          <w:kern w:val="0"/>
          <w:sz w:val="32"/>
          <w:szCs w:val="32"/>
        </w:rPr>
        <w:t>个、</w:t>
      </w:r>
      <w:r>
        <w:rPr>
          <w:rFonts w:ascii="仿宋_GB2312" w:hAnsi="宋体" w:eastAsia="仿宋_GB2312" w:cs="仿宋_GB2312"/>
          <w:color w:val="000000"/>
          <w:kern w:val="0"/>
          <w:sz w:val="32"/>
          <w:szCs w:val="32"/>
        </w:rPr>
        <w:t>5</w:t>
      </w:r>
      <w:r>
        <w:rPr>
          <w:rFonts w:hint="eastAsia" w:ascii="仿宋_GB2312" w:hAnsi="宋体" w:eastAsia="仿宋_GB2312" w:cs="仿宋_GB2312"/>
          <w:color w:val="000000"/>
          <w:kern w:val="0"/>
          <w:sz w:val="32"/>
          <w:szCs w:val="32"/>
        </w:rPr>
        <w:t>个工作日内提交答复意见。</w:t>
      </w:r>
    </w:p>
    <w:p>
      <w:pPr>
        <w:spacing w:line="360" w:lineRule="auto"/>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十、对于实用新型专利申请，针对专利局发出审查意见通知书，申请人承诺在</w:t>
      </w:r>
      <w:r>
        <w:rPr>
          <w:rFonts w:ascii="仿宋_GB2312" w:hAnsi="宋体" w:eastAsia="仿宋_GB2312" w:cs="仿宋_GB2312"/>
          <w:color w:val="000000"/>
          <w:kern w:val="0"/>
          <w:sz w:val="32"/>
          <w:szCs w:val="32"/>
        </w:rPr>
        <w:t>5</w:t>
      </w:r>
      <w:r>
        <w:rPr>
          <w:rFonts w:hint="eastAsia" w:ascii="仿宋_GB2312" w:hAnsi="宋体" w:eastAsia="仿宋_GB2312" w:cs="仿宋_GB2312"/>
          <w:color w:val="000000"/>
          <w:kern w:val="0"/>
          <w:sz w:val="32"/>
          <w:szCs w:val="32"/>
        </w:rPr>
        <w:t>个工作日内提交答复意见。</w:t>
      </w:r>
    </w:p>
    <w:p>
      <w:pPr>
        <w:spacing w:line="360" w:lineRule="auto"/>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十一、在审查过程中，申请人自愿放弃《专利法实施细则》第五十</w:t>
      </w:r>
      <w:r>
        <w:rPr>
          <w:rFonts w:hint="eastAsia" w:ascii="仿宋_GB2312" w:hAnsi="宋体" w:eastAsia="仿宋_GB2312" w:cs="仿宋_GB2312"/>
          <w:color w:val="000000"/>
          <w:kern w:val="0"/>
          <w:sz w:val="32"/>
          <w:szCs w:val="32"/>
          <w:lang w:eastAsia="zh-CN"/>
        </w:rPr>
        <w:t>七</w:t>
      </w:r>
      <w:r>
        <w:rPr>
          <w:rFonts w:hint="eastAsia" w:ascii="仿宋_GB2312" w:hAnsi="宋体" w:eastAsia="仿宋_GB2312" w:cs="仿宋_GB2312"/>
          <w:color w:val="000000"/>
          <w:kern w:val="0"/>
          <w:sz w:val="32"/>
          <w:szCs w:val="32"/>
        </w:rPr>
        <w:t>条第一款和第二款所规定的对申请进行主动修改的权利。</w:t>
      </w:r>
    </w:p>
    <w:p>
      <w:pPr>
        <w:spacing w:line="360" w:lineRule="auto"/>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十二、在专利申请授权公告前，申请人自愿放弃提出著录项目变更请求的权利。</w:t>
      </w:r>
    </w:p>
    <w:p>
      <w:pPr>
        <w:spacing w:line="360" w:lineRule="auto"/>
        <w:ind w:firstLine="640" w:firstLineChars="200"/>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十三、对于审查员提出的电话讨论或当面讨论的约请，申请人将积极予以配合。</w:t>
      </w:r>
    </w:p>
    <w:p>
      <w:pPr>
        <w:spacing w:line="360" w:lineRule="auto"/>
        <w:ind w:firstLine="640" w:firstLineChars="200"/>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十</w:t>
      </w:r>
      <w:r>
        <w:rPr>
          <w:rFonts w:hint="eastAsia" w:ascii="仿宋_GB2312" w:hAnsi="宋体" w:eastAsia="仿宋_GB2312" w:cs="仿宋_GB2312"/>
          <w:color w:val="000000"/>
          <w:kern w:val="0"/>
          <w:sz w:val="32"/>
          <w:szCs w:val="32"/>
          <w:lang w:eastAsia="zh-CN"/>
        </w:rPr>
        <w:t>四</w:t>
      </w:r>
      <w:r>
        <w:rPr>
          <w:rFonts w:hint="eastAsia" w:ascii="仿宋_GB2312" w:hAnsi="宋体" w:eastAsia="仿宋_GB2312" w:cs="仿宋_GB2312"/>
          <w:color w:val="000000"/>
          <w:kern w:val="0"/>
          <w:sz w:val="32"/>
          <w:szCs w:val="32"/>
        </w:rPr>
        <w:t>、对于预审意见，申请人将及时陈述意见，未能在收到预审意见后在预审意见通知书中规定期限内提交陈述意见的，视为放弃本预审申请。</w:t>
      </w:r>
    </w:p>
    <w:p>
      <w:pPr>
        <w:spacing w:line="360" w:lineRule="auto"/>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十</w:t>
      </w:r>
      <w:r>
        <w:rPr>
          <w:rFonts w:hint="eastAsia" w:ascii="仿宋_GB2312" w:hAnsi="宋体" w:eastAsia="仿宋_GB2312" w:cs="仿宋_GB2312"/>
          <w:color w:val="000000"/>
          <w:kern w:val="0"/>
          <w:sz w:val="32"/>
          <w:szCs w:val="32"/>
          <w:lang w:eastAsia="zh-CN"/>
        </w:rPr>
        <w:t>五</w:t>
      </w:r>
      <w:r>
        <w:rPr>
          <w:rFonts w:hint="eastAsia" w:ascii="仿宋_GB2312" w:hAnsi="宋体" w:eastAsia="仿宋_GB2312" w:cs="仿宋_GB2312"/>
          <w:color w:val="000000"/>
          <w:kern w:val="0"/>
          <w:sz w:val="32"/>
          <w:szCs w:val="32"/>
        </w:rPr>
        <w:t>、申请人知悉并自愿承担有关的法律风险，包括例如抵触申请带来的专利权不稳定性。</w:t>
      </w:r>
      <w:bookmarkStart w:id="2" w:name="_GoBack"/>
      <w:bookmarkEnd w:id="2"/>
      <w:r>
        <w:rPr>
          <w:rFonts w:hint="eastAsia" w:ascii="仿宋_GB2312" w:hAnsi="宋体" w:eastAsia="仿宋_GB2312" w:cs="仿宋_GB2312"/>
          <w:color w:val="000000"/>
          <w:kern w:val="0"/>
          <w:sz w:val="32"/>
          <w:szCs w:val="32"/>
        </w:rPr>
        <w:t>对于在申请时和审查过程中放弃的权益和机会，申请人将不会在后续法律程序中主张享有。</w:t>
      </w:r>
    </w:p>
    <w:p>
      <w:pPr>
        <w:spacing w:line="360" w:lineRule="auto"/>
        <w:ind w:firstLine="640" w:firstLineChars="200"/>
        <w:rPr>
          <w:rFonts w:ascii="仿宋_GB2312" w:hAnsi="宋体" w:eastAsia="仿宋_GB2312" w:cs="仿宋_GB2312"/>
          <w:color w:val="000000"/>
          <w:kern w:val="0"/>
          <w:sz w:val="32"/>
          <w:szCs w:val="32"/>
        </w:rPr>
      </w:pPr>
    </w:p>
    <w:p>
      <w:pPr>
        <w:spacing w:line="560" w:lineRule="exac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代理机构（盖章）　　　　　　 </w:t>
      </w:r>
      <w:r>
        <w:rPr>
          <w:rFonts w:ascii="仿宋" w:hAnsi="仿宋" w:eastAsia="仿宋" w:cs="仿宋"/>
          <w:color w:val="000000" w:themeColor="text1"/>
          <w:sz w:val="32"/>
          <w:szCs w:val="32"/>
        </w:rPr>
        <w:t xml:space="preserve"> </w:t>
      </w:r>
      <w:r>
        <w:rPr>
          <w:rFonts w:hint="eastAsia" w:ascii="仿宋" w:hAnsi="仿宋" w:eastAsia="仿宋" w:cs="仿宋"/>
          <w:color w:val="000000" w:themeColor="text1"/>
          <w:sz w:val="32"/>
          <w:szCs w:val="32"/>
        </w:rPr>
        <w:t>申请人（盖章）：</w:t>
      </w:r>
    </w:p>
    <w:p>
      <w:pPr>
        <w:spacing w:line="560" w:lineRule="exac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　　　　　　　　　　　　　　　日期：</w:t>
      </w:r>
    </w:p>
    <w:p>
      <w:pPr>
        <w:spacing w:line="360" w:lineRule="auto"/>
      </w:pPr>
      <w: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instrText xml:space="preserve">ADDIN CNKISM.UserStyle</w:instrText>
      </w:r>
      <w: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BkY2UzYzY2OGRkZTE5ZWExYjVmNzFkY2M2MDI0MzMifQ=="/>
  </w:docVars>
  <w:rsids>
    <w:rsidRoot w:val="005D4C1D"/>
    <w:rsid w:val="00050226"/>
    <w:rsid w:val="002C1A8F"/>
    <w:rsid w:val="0050146E"/>
    <w:rsid w:val="00523F9C"/>
    <w:rsid w:val="005D4C1D"/>
    <w:rsid w:val="005F4D10"/>
    <w:rsid w:val="00626750"/>
    <w:rsid w:val="00660E9C"/>
    <w:rsid w:val="006A0A1F"/>
    <w:rsid w:val="007010A0"/>
    <w:rsid w:val="007F7873"/>
    <w:rsid w:val="0080294E"/>
    <w:rsid w:val="00851B09"/>
    <w:rsid w:val="00920AD9"/>
    <w:rsid w:val="0093013B"/>
    <w:rsid w:val="009633BA"/>
    <w:rsid w:val="009A5389"/>
    <w:rsid w:val="00C045E0"/>
    <w:rsid w:val="00C45C42"/>
    <w:rsid w:val="00C61820"/>
    <w:rsid w:val="00D00478"/>
    <w:rsid w:val="00D63B5E"/>
    <w:rsid w:val="00D72E8F"/>
    <w:rsid w:val="00D81CAE"/>
    <w:rsid w:val="00E7561B"/>
    <w:rsid w:val="00F1459C"/>
    <w:rsid w:val="2C1861CE"/>
    <w:rsid w:val="2FDB6755"/>
    <w:rsid w:val="3A9E3E95"/>
    <w:rsid w:val="63352E60"/>
    <w:rsid w:val="6F762F60"/>
    <w:rsid w:val="6F7DBA9B"/>
    <w:rsid w:val="7A559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1003</Words>
  <Characters>1008</Characters>
  <Lines>7</Lines>
  <Paragraphs>2</Paragraphs>
  <TotalTime>7</TotalTime>
  <ScaleCrop>false</ScaleCrop>
  <LinksUpToDate>false</LinksUpToDate>
  <CharactersWithSpaces>1033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2019-01-03T23:26:00Z</dcterms:created>
  <dc:creator>PC</dc:creator>
  <cp:lastModifiedBy>admin</cp:lastModifiedBy>
  <dcterms:modified xsi:type="dcterms:W3CDTF">2024-07-16T02:12:24Z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4E935133882249759BDA4CD50039BFB5</vt:lpwstr>
  </property>
</Properties>
</file>